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569" w:rsidRPr="001C4896" w:rsidRDefault="00D93569" w:rsidP="00D93569">
      <w:pPr>
        <w:jc w:val="both"/>
        <w:rPr>
          <w:rFonts w:ascii="Times New Roman" w:hAnsi="Times New Roman" w:cs="Times New Roman"/>
          <w:color w:val="000000" w:themeColor="text1"/>
          <w:sz w:val="24"/>
          <w:szCs w:val="24"/>
        </w:rPr>
      </w:pPr>
    </w:p>
    <w:p w:rsidR="00D93569" w:rsidRPr="001C4896" w:rsidRDefault="00D93569" w:rsidP="00D93569">
      <w:pPr>
        <w:jc w:val="both"/>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Consumer Mathematics Paper</w:t>
      </w: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Student’s Name</w:t>
      </w: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Institutional Affiliation</w:t>
      </w: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p>
    <w:p w:rsidR="00D93569" w:rsidRPr="001C4896" w:rsidRDefault="00D93569" w:rsidP="00D93569">
      <w:pPr>
        <w:spacing w:after="0" w:line="480" w:lineRule="auto"/>
        <w:jc w:val="cente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lastRenderedPageBreak/>
        <w:t>Consumer Mathematics Paper</w:t>
      </w:r>
    </w:p>
    <w:p w:rsidR="00D93569" w:rsidRPr="001C4896" w:rsidRDefault="00D93569" w:rsidP="00D93569">
      <w:pPr>
        <w:spacing w:after="0" w:line="480" w:lineRule="auto"/>
        <w:ind w:firstLine="720"/>
        <w:contextualSpacing/>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Various factors affects the income of consumers in the society, among them is the income tax, annuity payment, and interest rates. The first one mainly affects the income or salary of the self-employed individuals especially on issues such as Social Security and Medicare. Secondly, the annuity payment influences the income of a consumer when he/she is acquiring a commodity such as a car, and thirdly, mortgage financing is determined based on the prevailing interest rates in the economy.  Ultimately, this paper assesses how taxes affect the consumer whenever they are acquiring a capital commodity. </w:t>
      </w:r>
    </w:p>
    <w:p w:rsidR="00D93569" w:rsidRPr="001C4896" w:rsidRDefault="00D93569" w:rsidP="00D93569">
      <w:pPr>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Question 1: Income Tax</w:t>
      </w:r>
    </w:p>
    <w:p w:rsidR="00D93569" w:rsidRPr="001C4896" w:rsidRDefault="00D93569" w:rsidP="00D93569">
      <w:pP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Compute the FICA taxes for a self- employed individual who makes an annual net of $153,000. If the same person’s net income was reduced of $103,000, what would be FICA taxes for those earnings? </w:t>
      </w:r>
    </w:p>
    <w:p w:rsidR="00D93569" w:rsidRPr="001C4896" w:rsidRDefault="00D93569" w:rsidP="00D93569">
      <w:pPr>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 xml:space="preserve">Solution </w:t>
      </w:r>
    </w:p>
    <w:p w:rsidR="004D3078" w:rsidRPr="001C4896" w:rsidRDefault="004D3078" w:rsidP="00D93569">
      <w:pP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Table 1: Income Tax</w:t>
      </w:r>
    </w:p>
    <w:tbl>
      <w:tblPr>
        <w:tblStyle w:val="TableGrid"/>
        <w:tblW w:w="0" w:type="auto"/>
        <w:tblLook w:val="04A0" w:firstRow="1" w:lastRow="0" w:firstColumn="1" w:lastColumn="0" w:noHBand="0" w:noVBand="1"/>
      </w:tblPr>
      <w:tblGrid>
        <w:gridCol w:w="1110"/>
        <w:gridCol w:w="2942"/>
        <w:gridCol w:w="2885"/>
        <w:gridCol w:w="2639"/>
      </w:tblGrid>
      <w:tr w:rsidR="001C4896" w:rsidRPr="001C4896" w:rsidTr="00644A21">
        <w:trPr>
          <w:trHeight w:val="422"/>
        </w:trPr>
        <w:tc>
          <w:tcPr>
            <w:tcW w:w="1110" w:type="dxa"/>
          </w:tcPr>
          <w:p w:rsidR="00644A21" w:rsidRPr="001C4896" w:rsidRDefault="00644A21" w:rsidP="00D93569">
            <w:pP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Tax</w:t>
            </w:r>
          </w:p>
        </w:tc>
        <w:tc>
          <w:tcPr>
            <w:tcW w:w="2942" w:type="dxa"/>
          </w:tcPr>
          <w:p w:rsidR="00644A21" w:rsidRPr="001C4896" w:rsidRDefault="00644A21" w:rsidP="00D93569">
            <w:pPr>
              <w:rPr>
                <w:rFonts w:ascii="Times New Roman" w:hAnsi="Times New Roman" w:cs="Times New Roman"/>
                <w:b/>
                <w:color w:val="000000" w:themeColor="text1"/>
                <w:sz w:val="24"/>
                <w:szCs w:val="24"/>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Social Security @ 12.4%</w:t>
            </w:r>
          </w:p>
        </w:tc>
        <w:tc>
          <w:tcPr>
            <w:tcW w:w="2885" w:type="dxa"/>
          </w:tcPr>
          <w:p w:rsidR="00644A21" w:rsidRPr="001C4896" w:rsidRDefault="00644A21" w:rsidP="00644A21">
            <w:pPr>
              <w:rPr>
                <w:rFonts w:ascii="Times New Roman" w:hAnsi="Times New Roman" w:cs="Times New Roman"/>
                <w:b/>
                <w:color w:val="000000" w:themeColor="text1"/>
                <w:sz w:val="24"/>
                <w:szCs w:val="24"/>
              </w:rPr>
            </w:pPr>
            <w:r w:rsidRPr="001C4896">
              <w:rPr>
                <w:rFonts w:ascii="Times New Roman" w:eastAsia="Times New Roman" w:hAnsi="Times New Roman" w:cs="Times New Roman"/>
                <w:color w:val="000000" w:themeColor="text1"/>
                <w:sz w:val="24"/>
                <w:szCs w:val="24"/>
              </w:rPr>
              <w:t>Medicare tax@2.9%</w:t>
            </w:r>
          </w:p>
        </w:tc>
        <w:tc>
          <w:tcPr>
            <w:tcW w:w="2639" w:type="dxa"/>
          </w:tcPr>
          <w:p w:rsidR="00644A21" w:rsidRPr="001C4896" w:rsidRDefault="00644A21" w:rsidP="00644A21">
            <w:pPr>
              <w:rPr>
                <w:rFonts w:ascii="Times New Roman" w:eastAsia="Times New Roman" w:hAnsi="Times New Roman" w:cs="Times New Roman"/>
                <w:color w:val="000000" w:themeColor="text1"/>
                <w:sz w:val="24"/>
                <w:szCs w:val="24"/>
              </w:rPr>
            </w:pPr>
            <w:r w:rsidRPr="001C4896">
              <w:rPr>
                <w:rFonts w:ascii="Times New Roman" w:eastAsia="Times New Roman" w:hAnsi="Times New Roman" w:cs="Times New Roman"/>
                <w:color w:val="000000" w:themeColor="text1"/>
                <w:sz w:val="24"/>
                <w:szCs w:val="24"/>
              </w:rPr>
              <w:t xml:space="preserve">Total tax </w:t>
            </w:r>
          </w:p>
        </w:tc>
      </w:tr>
      <w:tr w:rsidR="001C4896" w:rsidRPr="001C4896" w:rsidTr="00644A21">
        <w:tc>
          <w:tcPr>
            <w:tcW w:w="1110" w:type="dxa"/>
          </w:tcPr>
          <w:p w:rsidR="00644A21" w:rsidRPr="001C4896" w:rsidRDefault="00644A21" w:rsidP="00D93569">
            <w:pP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Financial year 2018 </w:t>
            </w:r>
          </w:p>
        </w:tc>
        <w:tc>
          <w:tcPr>
            <w:tcW w:w="2942" w:type="dxa"/>
          </w:tcPr>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The Social Security tax= </w:t>
            </w:r>
            <w:r w:rsidRPr="001C4896">
              <w:rPr>
                <w:rFonts w:ascii="Times New Roman" w:eastAsia="Times New Roman" w:hAnsi="Times New Roman" w:cs="Times New Roman"/>
                <w:color w:val="000000" w:themeColor="text1"/>
                <w:sz w:val="24"/>
                <w:szCs w:val="24"/>
              </w:rPr>
              <w:t>(</w:t>
            </w:r>
            <w:r w:rsidRPr="001C4896">
              <w:rPr>
                <w:rFonts w:ascii="Times New Roman" w:eastAsia="Times New Roman" w:hAnsi="Times New Roman" w:cs="Times New Roman"/>
                <w:color w:val="000000" w:themeColor="text1"/>
                <w:sz w:val="24"/>
                <w:szCs w:val="24"/>
                <w:bdr w:val="none" w:sz="0" w:space="0" w:color="auto" w:frame="1"/>
                <w:shd w:val="clear" w:color="auto" w:fill="FFFFFF"/>
              </w:rPr>
              <w:t>103,000) (12.4percent)</w:t>
            </w:r>
          </w:p>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 xml:space="preserve"> = (103,000) (12.4)/100 </w:t>
            </w:r>
          </w:p>
          <w:p w:rsidR="00220D47"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 </w:t>
            </w:r>
            <w:r w:rsidRPr="001C4896">
              <w:rPr>
                <w:rFonts w:ascii="Times New Roman" w:eastAsia="Times New Roman" w:hAnsi="Times New Roman" w:cs="Times New Roman"/>
                <w:color w:val="000000" w:themeColor="text1"/>
                <w:sz w:val="24"/>
                <w:szCs w:val="24"/>
              </w:rPr>
              <w:t>15921.6</w:t>
            </w:r>
          </w:p>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rPr>
            </w:pPr>
            <w:r w:rsidRPr="001C4896">
              <w:rPr>
                <w:rFonts w:ascii="Times New Roman" w:eastAsia="Times New Roman" w:hAnsi="Times New Roman" w:cs="Times New Roman"/>
                <w:color w:val="000000" w:themeColor="text1"/>
                <w:sz w:val="24"/>
                <w:szCs w:val="24"/>
              </w:rPr>
              <w:t xml:space="preserve"> = $12772</w:t>
            </w:r>
          </w:p>
          <w:p w:rsidR="00644A21" w:rsidRPr="001C4896" w:rsidRDefault="00644A21" w:rsidP="00D93569">
            <w:pPr>
              <w:rPr>
                <w:rFonts w:ascii="Times New Roman" w:hAnsi="Times New Roman" w:cs="Times New Roman"/>
                <w:b/>
                <w:color w:val="000000" w:themeColor="text1"/>
                <w:sz w:val="24"/>
                <w:szCs w:val="24"/>
              </w:rPr>
            </w:pPr>
          </w:p>
        </w:tc>
        <w:tc>
          <w:tcPr>
            <w:tcW w:w="2885" w:type="dxa"/>
          </w:tcPr>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103000) (2.9)/100 = $</w:t>
            </w:r>
            <w:r w:rsidRPr="001C4896">
              <w:rPr>
                <w:rFonts w:ascii="Times New Roman" w:eastAsia="Times New Roman" w:hAnsi="Times New Roman" w:cs="Times New Roman"/>
                <w:color w:val="000000" w:themeColor="text1"/>
                <w:sz w:val="24"/>
                <w:szCs w:val="24"/>
              </w:rPr>
              <w:t>2987</w:t>
            </w:r>
          </w:p>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r w:rsidRPr="001C4896">
              <w:rPr>
                <w:rFonts w:ascii="Times New Roman" w:eastAsia="Times New Roman" w:hAnsi="Times New Roman" w:cs="Times New Roman"/>
                <w:color w:val="000000" w:themeColor="text1"/>
                <w:sz w:val="24"/>
                <w:szCs w:val="24"/>
              </w:rPr>
              <w:t xml:space="preserve">Total tax for </w:t>
            </w:r>
            <w:r w:rsidRPr="001C4896">
              <w:rPr>
                <w:rFonts w:ascii="Times New Roman" w:eastAsia="Times New Roman" w:hAnsi="Times New Roman" w:cs="Times New Roman"/>
                <w:color w:val="000000" w:themeColor="text1"/>
                <w:sz w:val="24"/>
                <w:szCs w:val="24"/>
                <w:bdr w:val="none" w:sz="0" w:space="0" w:color="auto" w:frame="1"/>
                <w:shd w:val="clear" w:color="auto" w:fill="FFFFFF"/>
              </w:rPr>
              <w:t xml:space="preserve">$103000 </w:t>
            </w:r>
          </w:p>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 xml:space="preserve">= $12772 + $ 2987 </w:t>
            </w:r>
          </w:p>
          <w:p w:rsidR="00220D47" w:rsidRPr="001C4896" w:rsidRDefault="00220D47" w:rsidP="00644A21">
            <w:pPr>
              <w:shd w:val="clear" w:color="auto" w:fill="FFFFFF"/>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p>
          <w:p w:rsidR="00220D47" w:rsidRPr="001C4896" w:rsidRDefault="00220D47" w:rsidP="00644A21">
            <w:pPr>
              <w:shd w:val="clear" w:color="auto" w:fill="FFFFFF"/>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p>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w:t>
            </w:r>
            <w:r w:rsidRPr="001C4896">
              <w:rPr>
                <w:rFonts w:ascii="Times New Roman" w:eastAsia="Times New Roman" w:hAnsi="Times New Roman" w:cs="Times New Roman"/>
                <w:color w:val="000000" w:themeColor="text1"/>
                <w:sz w:val="24"/>
                <w:szCs w:val="24"/>
              </w:rPr>
              <w:t>$ 15759</w:t>
            </w:r>
          </w:p>
          <w:p w:rsidR="00644A21" w:rsidRPr="001C4896" w:rsidRDefault="00644A21" w:rsidP="00D93569">
            <w:pPr>
              <w:rPr>
                <w:rFonts w:ascii="Times New Roman" w:hAnsi="Times New Roman" w:cs="Times New Roman"/>
                <w:b/>
                <w:color w:val="000000" w:themeColor="text1"/>
                <w:sz w:val="24"/>
                <w:szCs w:val="24"/>
              </w:rPr>
            </w:pPr>
          </w:p>
        </w:tc>
        <w:tc>
          <w:tcPr>
            <w:tcW w:w="2639" w:type="dxa"/>
          </w:tcPr>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rPr>
            </w:pPr>
            <w:r w:rsidRPr="001C4896">
              <w:rPr>
                <w:rFonts w:ascii="Times New Roman" w:eastAsia="Times New Roman" w:hAnsi="Times New Roman" w:cs="Times New Roman"/>
                <w:color w:val="000000" w:themeColor="text1"/>
                <w:sz w:val="24"/>
                <w:szCs w:val="24"/>
                <w:bdr w:val="none" w:sz="0" w:space="0" w:color="auto" w:frame="1"/>
                <w:shd w:val="clear" w:color="auto" w:fill="FFFFFF"/>
              </w:rPr>
              <w:t>15922 + $ 4437 =</w:t>
            </w:r>
            <w:r w:rsidRPr="001C4896">
              <w:rPr>
                <w:rFonts w:ascii="Times New Roman" w:eastAsia="Times New Roman" w:hAnsi="Times New Roman" w:cs="Times New Roman"/>
                <w:color w:val="000000" w:themeColor="text1"/>
                <w:sz w:val="24"/>
                <w:szCs w:val="24"/>
              </w:rPr>
              <w:t>$20,359</w:t>
            </w:r>
          </w:p>
          <w:p w:rsidR="00644A21" w:rsidRPr="001C4896" w:rsidRDefault="00644A21" w:rsidP="00644A21">
            <w:pPr>
              <w:shd w:val="clear" w:color="auto" w:fill="FFFFFF"/>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p>
        </w:tc>
      </w:tr>
    </w:tbl>
    <w:p w:rsidR="00D93569" w:rsidRPr="001C4896" w:rsidRDefault="00D93569" w:rsidP="00D93569">
      <w:pPr>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 xml:space="preserve">Explanation </w:t>
      </w:r>
    </w:p>
    <w:p w:rsidR="00D93569" w:rsidRPr="001C4896" w:rsidRDefault="00D93569" w:rsidP="00D93569">
      <w:pPr>
        <w:spacing w:line="480" w:lineRule="auto"/>
        <w:ind w:firstLine="720"/>
        <w:contextualSpacing/>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When you are a staff, you are required to pay half of the total tax and the remaining amount would remitted by your organization. However, for the self- employed individuals, you are required to pay the total tax as the self- employed and then other half is treated as the tax deduction. Therefore, the overall tax of $ 103,000 is equal to $15,759.</w:t>
      </w:r>
      <w:bookmarkStart w:id="0" w:name="_GoBack"/>
      <w:bookmarkEnd w:id="0"/>
    </w:p>
    <w:p w:rsidR="001E65A5" w:rsidRPr="001C4896" w:rsidRDefault="001E65A5" w:rsidP="00D93569">
      <w:pPr>
        <w:rPr>
          <w:rFonts w:ascii="Times New Roman" w:hAnsi="Times New Roman" w:cs="Times New Roman"/>
          <w:b/>
          <w:color w:val="000000" w:themeColor="text1"/>
          <w:sz w:val="24"/>
          <w:szCs w:val="24"/>
        </w:rPr>
      </w:pPr>
    </w:p>
    <w:p w:rsidR="00D93569" w:rsidRPr="001C4896" w:rsidRDefault="00D93569" w:rsidP="00D93569">
      <w:pPr>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Question 2: Annuity Payment</w:t>
      </w:r>
    </w:p>
    <w:p w:rsidR="00D93569" w:rsidRPr="001C4896" w:rsidRDefault="00D93569" w:rsidP="00D93569">
      <w:pPr>
        <w:spacing w:line="480" w:lineRule="auto"/>
        <w:ind w:firstLine="720"/>
        <w:contextualSpacing/>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Jake is saving for a down payment on a car. He needs $ 1,800 in 10 months to make his down payment is saving money in annuity yielding an annual interest rate of 7% compounded monthly. If the annuity requires that Jake monthly investments, what annuity payment must Jake make to save enough for his down payment.</w:t>
      </w:r>
    </w:p>
    <w:p w:rsidR="00D93569" w:rsidRPr="001C4896" w:rsidRDefault="00D93569" w:rsidP="00D93569">
      <w:pPr>
        <w:jc w:val="both"/>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 xml:space="preserve">Solution </w:t>
      </w:r>
    </w:p>
    <w:p w:rsidR="00FF3E10" w:rsidRPr="001C4896" w:rsidRDefault="001E65A5"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Table 2: Annuity Payment</w:t>
      </w:r>
    </w:p>
    <w:tbl>
      <w:tblPr>
        <w:tblStyle w:val="TableGrid"/>
        <w:tblW w:w="0" w:type="auto"/>
        <w:tblLook w:val="04A0" w:firstRow="1" w:lastRow="0" w:firstColumn="1" w:lastColumn="0" w:noHBand="0" w:noVBand="1"/>
      </w:tblPr>
      <w:tblGrid>
        <w:gridCol w:w="4878"/>
        <w:gridCol w:w="4050"/>
      </w:tblGrid>
      <w:tr w:rsidR="001C4896" w:rsidRPr="001C4896" w:rsidTr="00D857E9">
        <w:tc>
          <w:tcPr>
            <w:tcW w:w="4878" w:type="dxa"/>
          </w:tcPr>
          <w:p w:rsidR="00FF3E10" w:rsidRPr="001C4896" w:rsidRDefault="00FF3E10"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Remarks </w:t>
            </w:r>
          </w:p>
        </w:tc>
        <w:tc>
          <w:tcPr>
            <w:tcW w:w="4050" w:type="dxa"/>
          </w:tcPr>
          <w:p w:rsidR="00FF3E10" w:rsidRPr="001C4896" w:rsidRDefault="00FF3E10"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Value </w:t>
            </w:r>
          </w:p>
        </w:tc>
      </w:tr>
      <w:tr w:rsidR="001C4896" w:rsidRPr="001C4896" w:rsidTr="00D857E9">
        <w:tc>
          <w:tcPr>
            <w:tcW w:w="4878" w:type="dxa"/>
          </w:tcPr>
          <w:p w:rsidR="00FF3E10" w:rsidRPr="001C4896" w:rsidRDefault="00FF3E10"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Future value </w:t>
            </w:r>
          </w:p>
        </w:tc>
        <w:tc>
          <w:tcPr>
            <w:tcW w:w="4050" w:type="dxa"/>
          </w:tcPr>
          <w:p w:rsidR="00FF3E10" w:rsidRPr="001C4896" w:rsidRDefault="00FF3E10" w:rsidP="00D93569">
            <w:pPr>
              <w:jc w:val="both"/>
              <w:rPr>
                <w:rFonts w:ascii="Times New Roman" w:hAnsi="Times New Roman" w:cs="Times New Roman"/>
                <w:b/>
                <w:color w:val="000000" w:themeColor="text1"/>
                <w:sz w:val="24"/>
                <w:szCs w:val="24"/>
              </w:rPr>
            </w:pPr>
            <w:r w:rsidRPr="001C4896">
              <w:rPr>
                <w:rFonts w:ascii="Times New Roman" w:hAnsi="Times New Roman" w:cs="Times New Roman"/>
                <w:color w:val="000000" w:themeColor="text1"/>
                <w:sz w:val="24"/>
                <w:szCs w:val="24"/>
              </w:rPr>
              <w:t>$ 1,800</w:t>
            </w:r>
          </w:p>
        </w:tc>
      </w:tr>
      <w:tr w:rsidR="001C4896" w:rsidRPr="001C4896" w:rsidTr="00D857E9">
        <w:tc>
          <w:tcPr>
            <w:tcW w:w="4878" w:type="dxa"/>
          </w:tcPr>
          <w:p w:rsidR="00FF3E10" w:rsidRPr="001C4896" w:rsidRDefault="00FF3E10" w:rsidP="00D93569">
            <w:pPr>
              <w:jc w:val="both"/>
              <w:rPr>
                <w:rFonts w:ascii="Times New Roman" w:hAnsi="Times New Roman" w:cs="Times New Roman"/>
                <w:b/>
                <w:color w:val="000000" w:themeColor="text1"/>
                <w:sz w:val="24"/>
                <w:szCs w:val="24"/>
              </w:rPr>
            </w:pPr>
            <w:r w:rsidRPr="001C4896">
              <w:rPr>
                <w:rFonts w:ascii="Times New Roman" w:hAnsi="Times New Roman" w:cs="Times New Roman"/>
                <w:color w:val="000000" w:themeColor="text1"/>
                <w:sz w:val="24"/>
                <w:szCs w:val="24"/>
              </w:rPr>
              <w:t>Maturity time</w:t>
            </w:r>
          </w:p>
        </w:tc>
        <w:tc>
          <w:tcPr>
            <w:tcW w:w="4050" w:type="dxa"/>
          </w:tcPr>
          <w:p w:rsidR="00FF3E10" w:rsidRPr="001C4896" w:rsidRDefault="00FF3E10" w:rsidP="00D93569">
            <w:pPr>
              <w:jc w:val="both"/>
              <w:rPr>
                <w:rFonts w:ascii="Times New Roman" w:hAnsi="Times New Roman" w:cs="Times New Roman"/>
                <w:b/>
                <w:color w:val="000000" w:themeColor="text1"/>
                <w:sz w:val="24"/>
                <w:szCs w:val="24"/>
              </w:rPr>
            </w:pPr>
            <w:r w:rsidRPr="001C4896">
              <w:rPr>
                <w:rFonts w:ascii="Times New Roman" w:hAnsi="Times New Roman" w:cs="Times New Roman"/>
                <w:color w:val="000000" w:themeColor="text1"/>
                <w:sz w:val="24"/>
                <w:szCs w:val="24"/>
              </w:rPr>
              <w:t>0.8333 years</w:t>
            </w:r>
          </w:p>
        </w:tc>
      </w:tr>
      <w:tr w:rsidR="001C4896" w:rsidRPr="001C4896" w:rsidTr="00D857E9">
        <w:tc>
          <w:tcPr>
            <w:tcW w:w="4878" w:type="dxa"/>
          </w:tcPr>
          <w:p w:rsidR="00FF3E10" w:rsidRPr="001C4896" w:rsidRDefault="00FF3E10" w:rsidP="00D93569">
            <w:pPr>
              <w:jc w:val="both"/>
              <w:rPr>
                <w:rFonts w:ascii="Times New Roman" w:hAnsi="Times New Roman" w:cs="Times New Roman"/>
                <w:b/>
                <w:color w:val="000000" w:themeColor="text1"/>
                <w:sz w:val="24"/>
                <w:szCs w:val="24"/>
              </w:rPr>
            </w:pPr>
            <w:r w:rsidRPr="001C4896">
              <w:rPr>
                <w:rFonts w:ascii="Times New Roman" w:hAnsi="Times New Roman" w:cs="Times New Roman"/>
                <w:color w:val="000000" w:themeColor="text1"/>
                <w:sz w:val="24"/>
                <w:szCs w:val="24"/>
              </w:rPr>
              <w:t>Rate of interest</w:t>
            </w:r>
          </w:p>
        </w:tc>
        <w:tc>
          <w:tcPr>
            <w:tcW w:w="4050" w:type="dxa"/>
          </w:tcPr>
          <w:p w:rsidR="00FF3E10" w:rsidRPr="001C4896" w:rsidRDefault="00FF3E10" w:rsidP="00D93569">
            <w:pPr>
              <w:jc w:val="both"/>
              <w:rPr>
                <w:rFonts w:ascii="Times New Roman" w:hAnsi="Times New Roman" w:cs="Times New Roman"/>
                <w:b/>
                <w:color w:val="000000" w:themeColor="text1"/>
                <w:sz w:val="24"/>
                <w:szCs w:val="24"/>
              </w:rPr>
            </w:pPr>
            <w:r w:rsidRPr="001C4896">
              <w:rPr>
                <w:rFonts w:ascii="Times New Roman" w:hAnsi="Times New Roman" w:cs="Times New Roman"/>
                <w:color w:val="000000" w:themeColor="text1"/>
                <w:sz w:val="24"/>
                <w:szCs w:val="24"/>
              </w:rPr>
              <w:t>7 %</w:t>
            </w:r>
          </w:p>
        </w:tc>
      </w:tr>
      <w:tr w:rsidR="001C4896" w:rsidRPr="001C4896" w:rsidTr="00D857E9">
        <w:tc>
          <w:tcPr>
            <w:tcW w:w="4878" w:type="dxa"/>
          </w:tcPr>
          <w:p w:rsidR="00FF3E10" w:rsidRPr="001C4896" w:rsidRDefault="00F0484E" w:rsidP="00D93569">
            <w:pPr>
              <w:jc w:val="both"/>
              <w:rPr>
                <w:rFonts w:ascii="Times New Roman" w:hAnsi="Times New Roman" w:cs="Times New Roman"/>
                <w:b/>
                <w:color w:val="000000" w:themeColor="text1"/>
                <w:sz w:val="24"/>
                <w:szCs w:val="24"/>
              </w:rPr>
            </w:pPr>
            <w:r w:rsidRPr="001C4896">
              <w:rPr>
                <w:rFonts w:ascii="Times New Roman" w:hAnsi="Times New Roman" w:cs="Times New Roman"/>
                <w:color w:val="000000" w:themeColor="text1"/>
                <w:sz w:val="24"/>
                <w:szCs w:val="24"/>
              </w:rPr>
              <w:t>Period of compounding</w:t>
            </w:r>
          </w:p>
        </w:tc>
        <w:tc>
          <w:tcPr>
            <w:tcW w:w="4050" w:type="dxa"/>
          </w:tcPr>
          <w:p w:rsidR="00FF3E10" w:rsidRPr="001C4896" w:rsidRDefault="00F0484E"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12 months</w:t>
            </w:r>
          </w:p>
        </w:tc>
      </w:tr>
      <w:tr w:rsidR="001C4896" w:rsidRPr="001C4896" w:rsidTr="00D857E9">
        <w:tc>
          <w:tcPr>
            <w:tcW w:w="4878" w:type="dxa"/>
          </w:tcPr>
          <w:p w:rsidR="00FF3E10" w:rsidRPr="001C4896" w:rsidRDefault="00F0484E"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Payment </w:t>
            </w:r>
          </w:p>
        </w:tc>
        <w:tc>
          <w:tcPr>
            <w:tcW w:w="4050" w:type="dxa"/>
          </w:tcPr>
          <w:p w:rsidR="00FF3E10" w:rsidRPr="001C4896" w:rsidRDefault="00F0484E" w:rsidP="00D93569">
            <w:pPr>
              <w:jc w:val="both"/>
              <w:rPr>
                <w:rFonts w:ascii="Times New Roman" w:hAnsi="Times New Roman" w:cs="Times New Roman"/>
                <w:b/>
                <w:color w:val="000000" w:themeColor="text1"/>
                <w:sz w:val="24"/>
                <w:szCs w:val="24"/>
              </w:rPr>
            </w:pPr>
            <w:r w:rsidRPr="001C4896">
              <w:rPr>
                <w:rFonts w:ascii="Times New Roman" w:hAnsi="Times New Roman" w:cs="Times New Roman"/>
                <w:bCs/>
                <w:color w:val="000000" w:themeColor="text1"/>
                <w:sz w:val="24"/>
                <w:szCs w:val="24"/>
                <w:bdr w:val="none" w:sz="0" w:space="0" w:color="auto" w:frame="1"/>
              </w:rPr>
              <w:t>Future value / [((1 + r/m) nxm - 1) / (r/m)]</w:t>
            </w:r>
          </w:p>
        </w:tc>
      </w:tr>
      <w:tr w:rsidR="00FF3E10" w:rsidRPr="001C4896" w:rsidTr="00D857E9">
        <w:tc>
          <w:tcPr>
            <w:tcW w:w="4878" w:type="dxa"/>
          </w:tcPr>
          <w:p w:rsidR="00FF3E10" w:rsidRPr="001C4896" w:rsidRDefault="00F0484E"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Payment</w:t>
            </w:r>
          </w:p>
        </w:tc>
        <w:tc>
          <w:tcPr>
            <w:tcW w:w="4050" w:type="dxa"/>
          </w:tcPr>
          <w:p w:rsidR="00F0484E" w:rsidRPr="001C4896" w:rsidRDefault="00F0484E" w:rsidP="00F0484E">
            <w:pPr>
              <w:pStyle w:val="NormalWeb"/>
              <w:shd w:val="clear" w:color="auto" w:fill="FFFFFF"/>
              <w:spacing w:before="0" w:beforeAutospacing="0" w:after="0" w:afterAutospacing="0"/>
              <w:textAlignment w:val="baseline"/>
              <w:rPr>
                <w:color w:val="000000" w:themeColor="text1"/>
              </w:rPr>
            </w:pPr>
            <w:r w:rsidRPr="001C4896">
              <w:rPr>
                <w:bCs/>
                <w:color w:val="000000" w:themeColor="text1"/>
                <w:bdr w:val="none" w:sz="0" w:space="0" w:color="auto" w:frame="1"/>
              </w:rPr>
              <w:t>1800 / [((1 + 0.07/12) (0.8333x12) - 1) / (0.07/12)]</w:t>
            </w:r>
          </w:p>
          <w:p w:rsidR="00F0484E" w:rsidRPr="001C4896" w:rsidRDefault="00F0484E" w:rsidP="00F0484E">
            <w:pPr>
              <w:pStyle w:val="NormalWeb"/>
              <w:shd w:val="clear" w:color="auto" w:fill="FFFFFF"/>
              <w:spacing w:before="0" w:beforeAutospacing="0" w:after="0" w:afterAutospacing="0"/>
              <w:textAlignment w:val="baseline"/>
              <w:rPr>
                <w:color w:val="000000" w:themeColor="text1"/>
              </w:rPr>
            </w:pPr>
            <w:r w:rsidRPr="001C4896">
              <w:rPr>
                <w:bCs/>
                <w:color w:val="000000" w:themeColor="text1"/>
                <w:bdr w:val="none" w:sz="0" w:space="0" w:color="auto" w:frame="1"/>
              </w:rPr>
              <w:t>= $175.33</w:t>
            </w:r>
          </w:p>
          <w:p w:rsidR="00FF3E10" w:rsidRPr="001C4896" w:rsidRDefault="00FF3E10" w:rsidP="00D93569">
            <w:pPr>
              <w:jc w:val="both"/>
              <w:rPr>
                <w:rFonts w:ascii="Times New Roman" w:hAnsi="Times New Roman" w:cs="Times New Roman"/>
                <w:b/>
                <w:color w:val="000000" w:themeColor="text1"/>
                <w:sz w:val="24"/>
                <w:szCs w:val="24"/>
              </w:rPr>
            </w:pPr>
          </w:p>
        </w:tc>
      </w:tr>
    </w:tbl>
    <w:p w:rsidR="00FF3E10" w:rsidRPr="001C4896" w:rsidRDefault="00FF3E10" w:rsidP="00D93569">
      <w:pPr>
        <w:pStyle w:val="NormalWeb"/>
        <w:shd w:val="clear" w:color="auto" w:fill="FFFFFF"/>
        <w:spacing w:before="0" w:beforeAutospacing="0" w:after="0" w:afterAutospacing="0"/>
        <w:textAlignment w:val="baseline"/>
        <w:rPr>
          <w:color w:val="000000" w:themeColor="text1"/>
        </w:rPr>
      </w:pPr>
    </w:p>
    <w:p w:rsidR="00D93569" w:rsidRPr="001C4896" w:rsidRDefault="00D93569" w:rsidP="00D93569">
      <w:pPr>
        <w:jc w:val="both"/>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 xml:space="preserve">Explanation </w:t>
      </w:r>
    </w:p>
    <w:p w:rsidR="00D93569" w:rsidRPr="001C4896" w:rsidRDefault="00D93569" w:rsidP="00D93569">
      <w:pPr>
        <w:spacing w:line="480" w:lineRule="auto"/>
        <w:ind w:firstLine="720"/>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The future amount of ordinary annuity is described as the measurement of the value collected in future when a known percentage of return is provided. However, if the rate of return is considerable, the annuity would be great since the annuity will expand at the needed rate of return (</w:t>
      </w:r>
      <w:r w:rsidRPr="001C4896">
        <w:rPr>
          <w:rFonts w:ascii="Times New Roman" w:hAnsi="Times New Roman" w:cs="Times New Roman"/>
          <w:color w:val="000000" w:themeColor="text1"/>
          <w:sz w:val="24"/>
          <w:szCs w:val="24"/>
          <w:shd w:val="clear" w:color="auto" w:fill="FFFFFF"/>
        </w:rPr>
        <w:t>Moyer, William &amp; James, 2011). </w:t>
      </w:r>
      <w:r w:rsidRPr="001C4896">
        <w:rPr>
          <w:rFonts w:ascii="Times New Roman" w:hAnsi="Times New Roman" w:cs="Times New Roman"/>
          <w:color w:val="000000" w:themeColor="text1"/>
          <w:sz w:val="24"/>
          <w:szCs w:val="24"/>
        </w:rPr>
        <w:t xml:space="preserve">  Ultimately, if the payments are made then is known as the ordinary annuity.</w:t>
      </w:r>
    </w:p>
    <w:p w:rsidR="00D93569" w:rsidRPr="001C4896" w:rsidRDefault="00D93569" w:rsidP="00D93569">
      <w:pPr>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 xml:space="preserve">Question 3: Mortgage Financing </w:t>
      </w:r>
    </w:p>
    <w:p w:rsidR="00D93569" w:rsidRPr="001C4896" w:rsidRDefault="00D93569" w:rsidP="00D93569">
      <w:pPr>
        <w:spacing w:line="480" w:lineRule="auto"/>
        <w:ind w:firstLine="720"/>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Paul wants a home that costs $195,000. He wants to finance the home for 15 years with 5% annual mortgage rate. He plans to pay $60,000 as a down payment. Calculate his projected monthly mortgage payment.</w:t>
      </w:r>
    </w:p>
    <w:p w:rsidR="00D93569" w:rsidRPr="001C4896" w:rsidRDefault="00D93569" w:rsidP="00D93569">
      <w:pPr>
        <w:spacing w:after="0"/>
        <w:jc w:val="both"/>
        <w:rPr>
          <w:rFonts w:ascii="Times New Roman" w:hAnsi="Times New Roman" w:cs="Times New Roman"/>
          <w:b/>
          <w:color w:val="000000" w:themeColor="text1"/>
          <w:sz w:val="24"/>
          <w:szCs w:val="24"/>
        </w:rPr>
      </w:pPr>
      <w:r w:rsidRPr="001C4896">
        <w:rPr>
          <w:rFonts w:ascii="Times New Roman" w:hAnsi="Times New Roman" w:cs="Times New Roman"/>
          <w:b/>
          <w:color w:val="000000" w:themeColor="text1"/>
          <w:sz w:val="24"/>
          <w:szCs w:val="24"/>
        </w:rPr>
        <w:t xml:space="preserve">Solution </w:t>
      </w:r>
    </w:p>
    <w:p w:rsidR="000748B7" w:rsidRPr="001C4896" w:rsidRDefault="000748B7" w:rsidP="00D93569">
      <w:pPr>
        <w:spacing w:after="0"/>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Table 3: Mortgage Financing</w:t>
      </w:r>
    </w:p>
    <w:p w:rsidR="000748B7" w:rsidRPr="001C4896" w:rsidRDefault="000748B7" w:rsidP="00D93569">
      <w:pPr>
        <w:spacing w:after="0"/>
        <w:jc w:val="both"/>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5148"/>
        <w:gridCol w:w="3420"/>
      </w:tblGrid>
      <w:tr w:rsidR="001C4896" w:rsidRPr="001C4896" w:rsidTr="00D857E9">
        <w:tc>
          <w:tcPr>
            <w:tcW w:w="5148" w:type="dxa"/>
          </w:tcPr>
          <w:p w:rsidR="000748B7" w:rsidRPr="001C4896" w:rsidRDefault="000748B7"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Remarks </w:t>
            </w:r>
          </w:p>
        </w:tc>
        <w:tc>
          <w:tcPr>
            <w:tcW w:w="3420" w:type="dxa"/>
          </w:tcPr>
          <w:p w:rsidR="000748B7" w:rsidRPr="001C4896" w:rsidRDefault="000748B7"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Value </w:t>
            </w:r>
          </w:p>
        </w:tc>
      </w:tr>
      <w:tr w:rsidR="001C4896" w:rsidRPr="001C4896" w:rsidTr="00D857E9">
        <w:tc>
          <w:tcPr>
            <w:tcW w:w="5148" w:type="dxa"/>
          </w:tcPr>
          <w:p w:rsidR="000748B7" w:rsidRPr="001C4896" w:rsidRDefault="000748B7"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Loan amount</w:t>
            </w:r>
          </w:p>
        </w:tc>
        <w:tc>
          <w:tcPr>
            <w:tcW w:w="3420" w:type="dxa"/>
          </w:tcPr>
          <w:p w:rsidR="000748B7" w:rsidRPr="001C4896" w:rsidRDefault="000748B7" w:rsidP="000748B7">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 195000 – 6000 = 135000</w:t>
            </w:r>
          </w:p>
        </w:tc>
      </w:tr>
      <w:tr w:rsidR="001C4896" w:rsidRPr="001C4896" w:rsidTr="00D857E9">
        <w:tc>
          <w:tcPr>
            <w:tcW w:w="5148" w:type="dxa"/>
          </w:tcPr>
          <w:p w:rsidR="000748B7" w:rsidRPr="001C4896" w:rsidRDefault="000748B7"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Nper</w:t>
            </w:r>
          </w:p>
        </w:tc>
        <w:tc>
          <w:tcPr>
            <w:tcW w:w="3420" w:type="dxa"/>
          </w:tcPr>
          <w:p w:rsidR="000748B7" w:rsidRPr="001C4896" w:rsidRDefault="000748B7"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15 X 12 = 180</w:t>
            </w:r>
          </w:p>
        </w:tc>
      </w:tr>
      <w:tr w:rsidR="001C4896" w:rsidRPr="001C4896" w:rsidTr="00D857E9">
        <w:tc>
          <w:tcPr>
            <w:tcW w:w="5148" w:type="dxa"/>
          </w:tcPr>
          <w:p w:rsidR="000748B7" w:rsidRPr="001C4896" w:rsidRDefault="000748B7" w:rsidP="00D93569">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Rate = 0.05/12</w:t>
            </w:r>
          </w:p>
        </w:tc>
        <w:tc>
          <w:tcPr>
            <w:tcW w:w="3420" w:type="dxa"/>
          </w:tcPr>
          <w:p w:rsidR="000748B7" w:rsidRPr="001C4896" w:rsidRDefault="000748B7" w:rsidP="00066EBD">
            <w:pPr>
              <w:jc w:val="both"/>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0.42 </w:t>
            </w:r>
            <w:r w:rsidR="00066EBD" w:rsidRPr="001C4896">
              <w:rPr>
                <w:rFonts w:ascii="Times New Roman" w:hAnsi="Times New Roman" w:cs="Times New Roman"/>
                <w:color w:val="000000" w:themeColor="text1"/>
                <w:sz w:val="24"/>
                <w:szCs w:val="24"/>
              </w:rPr>
              <w:t>%</w:t>
            </w:r>
          </w:p>
        </w:tc>
      </w:tr>
      <w:tr w:rsidR="000748B7" w:rsidRPr="001C4896" w:rsidTr="00D857E9">
        <w:tc>
          <w:tcPr>
            <w:tcW w:w="5148" w:type="dxa"/>
          </w:tcPr>
          <w:p w:rsidR="000748B7" w:rsidRPr="001C4896" w:rsidRDefault="000748B7" w:rsidP="00066EBD">
            <w:pP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Monthly Repayment (PMT)</w:t>
            </w:r>
          </w:p>
        </w:tc>
        <w:tc>
          <w:tcPr>
            <w:tcW w:w="3420" w:type="dxa"/>
          </w:tcPr>
          <w:p w:rsidR="000748B7" w:rsidRPr="001C4896" w:rsidRDefault="000748B7" w:rsidP="000748B7">
            <w:pPr>
              <w:pStyle w:val="NormalWeb"/>
              <w:shd w:val="clear" w:color="auto" w:fill="FFFFFF"/>
              <w:spacing w:before="0" w:beforeAutospacing="0" w:after="0" w:afterAutospacing="0"/>
              <w:textAlignment w:val="baseline"/>
              <w:rPr>
                <w:color w:val="000000" w:themeColor="text1"/>
              </w:rPr>
            </w:pPr>
          </w:p>
          <w:p w:rsidR="000748B7" w:rsidRPr="001C4896" w:rsidRDefault="000748B7" w:rsidP="000748B7">
            <w:pPr>
              <w:pStyle w:val="NormalWeb"/>
              <w:shd w:val="clear" w:color="auto" w:fill="FFFFFF"/>
              <w:spacing w:before="0" w:beforeAutospacing="0" w:after="0" w:afterAutospacing="0"/>
              <w:textAlignment w:val="baseline"/>
              <w:rPr>
                <w:color w:val="000000" w:themeColor="text1"/>
              </w:rPr>
            </w:pPr>
          </w:p>
          <w:p w:rsidR="000748B7" w:rsidRPr="001C4896" w:rsidRDefault="000748B7" w:rsidP="000748B7">
            <w:pPr>
              <w:pStyle w:val="NormalWeb"/>
              <w:shd w:val="clear" w:color="auto" w:fill="FFFFFF"/>
              <w:spacing w:before="0" w:beforeAutospacing="0" w:after="0" w:afterAutospacing="0"/>
              <w:textAlignment w:val="baseline"/>
              <w:rPr>
                <w:color w:val="000000" w:themeColor="text1"/>
              </w:rPr>
            </w:pPr>
            <w:r w:rsidRPr="001C4896">
              <w:rPr>
                <w:color w:val="000000" w:themeColor="text1"/>
              </w:rPr>
              <w:t>(0.05 /12, 15 x 12, 135000)</w:t>
            </w:r>
          </w:p>
          <w:p w:rsidR="000748B7" w:rsidRPr="001C4896" w:rsidRDefault="000748B7" w:rsidP="000748B7">
            <w:pPr>
              <w:pStyle w:val="NormalWeb"/>
              <w:shd w:val="clear" w:color="auto" w:fill="FFFFFF"/>
              <w:spacing w:before="0" w:beforeAutospacing="0" w:after="0" w:afterAutospacing="0"/>
              <w:textAlignment w:val="baseline"/>
              <w:rPr>
                <w:color w:val="000000" w:themeColor="text1"/>
              </w:rPr>
            </w:pPr>
            <w:r w:rsidRPr="001C4896">
              <w:rPr>
                <w:b/>
                <w:bCs/>
                <w:color w:val="000000" w:themeColor="text1"/>
                <w:bdr w:val="none" w:sz="0" w:space="0" w:color="auto" w:frame="1"/>
              </w:rPr>
              <w:t>=</w:t>
            </w:r>
            <w:r w:rsidRPr="001C4896">
              <w:rPr>
                <w:bCs/>
                <w:color w:val="000000" w:themeColor="text1"/>
                <w:bdr w:val="none" w:sz="0" w:space="0" w:color="auto" w:frame="1"/>
              </w:rPr>
              <w:t>1068</w:t>
            </w:r>
          </w:p>
          <w:p w:rsidR="000748B7" w:rsidRPr="001C4896" w:rsidRDefault="000748B7" w:rsidP="00D93569">
            <w:pPr>
              <w:jc w:val="both"/>
              <w:rPr>
                <w:rFonts w:ascii="Times New Roman" w:hAnsi="Times New Roman" w:cs="Times New Roman"/>
                <w:color w:val="000000" w:themeColor="text1"/>
                <w:sz w:val="24"/>
                <w:szCs w:val="24"/>
              </w:rPr>
            </w:pPr>
          </w:p>
        </w:tc>
      </w:tr>
    </w:tbl>
    <w:p w:rsidR="000748B7" w:rsidRPr="001C4896" w:rsidRDefault="000748B7" w:rsidP="00D93569">
      <w:pPr>
        <w:spacing w:after="0"/>
        <w:jc w:val="both"/>
        <w:rPr>
          <w:rFonts w:ascii="Times New Roman" w:hAnsi="Times New Roman" w:cs="Times New Roman"/>
          <w:color w:val="000000" w:themeColor="text1"/>
          <w:sz w:val="24"/>
          <w:szCs w:val="24"/>
        </w:rPr>
      </w:pPr>
    </w:p>
    <w:p w:rsidR="00D93569" w:rsidRPr="001C4896" w:rsidRDefault="00D93569" w:rsidP="00D93569">
      <w:pPr>
        <w:pStyle w:val="NormalWeb"/>
        <w:shd w:val="clear" w:color="auto" w:fill="FFFFFF"/>
        <w:spacing w:before="0" w:beforeAutospacing="0" w:after="0" w:afterAutospacing="0"/>
        <w:textAlignment w:val="baseline"/>
        <w:rPr>
          <w:b/>
          <w:bCs/>
          <w:color w:val="000000" w:themeColor="text1"/>
          <w:bdr w:val="none" w:sz="0" w:space="0" w:color="auto" w:frame="1"/>
        </w:rPr>
      </w:pPr>
      <w:r w:rsidRPr="001C4896">
        <w:rPr>
          <w:b/>
          <w:bCs/>
          <w:color w:val="000000" w:themeColor="text1"/>
          <w:bdr w:val="none" w:sz="0" w:space="0" w:color="auto" w:frame="1"/>
        </w:rPr>
        <w:t xml:space="preserve">Explanation  </w:t>
      </w:r>
    </w:p>
    <w:p w:rsidR="00D93569" w:rsidRPr="001C4896" w:rsidRDefault="00D93569" w:rsidP="00D93569">
      <w:pPr>
        <w:pStyle w:val="NormalWeb"/>
        <w:shd w:val="clear" w:color="auto" w:fill="FFFFFF"/>
        <w:spacing w:before="0" w:beforeAutospacing="0" w:after="0" w:afterAutospacing="0"/>
        <w:textAlignment w:val="baseline"/>
        <w:rPr>
          <w:color w:val="000000" w:themeColor="text1"/>
        </w:rPr>
      </w:pPr>
    </w:p>
    <w:p w:rsidR="00D93569" w:rsidRPr="001C4896" w:rsidRDefault="00D93569" w:rsidP="00D93569">
      <w:pPr>
        <w:shd w:val="clear" w:color="auto" w:fill="FFFFFF"/>
        <w:spacing w:after="0" w:line="480" w:lineRule="auto"/>
        <w:ind w:firstLine="720"/>
        <w:textAlignment w:val="baseline"/>
        <w:rPr>
          <w:rFonts w:ascii="Times New Roman" w:eastAsia="Times New Roman" w:hAnsi="Times New Roman" w:cs="Times New Roman"/>
          <w:bCs/>
          <w:color w:val="000000" w:themeColor="text1"/>
          <w:sz w:val="24"/>
          <w:szCs w:val="24"/>
          <w:bdr w:val="none" w:sz="0" w:space="0" w:color="auto" w:frame="1"/>
        </w:rPr>
      </w:pPr>
      <w:r w:rsidRPr="001C4896">
        <w:rPr>
          <w:rFonts w:ascii="Times New Roman" w:eastAsia="Times New Roman" w:hAnsi="Times New Roman" w:cs="Times New Roman"/>
          <w:bCs/>
          <w:color w:val="000000" w:themeColor="text1"/>
          <w:sz w:val="24"/>
          <w:szCs w:val="24"/>
          <w:bdr w:val="none" w:sz="0" w:space="0" w:color="auto" w:frame="1"/>
        </w:rPr>
        <w:t>The PV of the ordinary annuity is described as patterns as series of similar payments that happen at the end of the business period.  Notably, the settlements that are made at the end of the period or month are defining as the annuity in arrears and ordinary annuity</w:t>
      </w:r>
      <w:r w:rsidRPr="001C4896">
        <w:rPr>
          <w:rFonts w:ascii="Times New Roman" w:hAnsi="Times New Roman" w:cs="Times New Roman"/>
          <w:color w:val="000000" w:themeColor="text1"/>
          <w:sz w:val="24"/>
          <w:szCs w:val="24"/>
        </w:rPr>
        <w:t xml:space="preserve"> (</w:t>
      </w:r>
      <w:r w:rsidRPr="001C4896">
        <w:rPr>
          <w:rFonts w:ascii="Times New Roman" w:hAnsi="Times New Roman" w:cs="Times New Roman"/>
          <w:color w:val="000000" w:themeColor="text1"/>
          <w:sz w:val="24"/>
          <w:szCs w:val="24"/>
          <w:shd w:val="clear" w:color="auto" w:fill="FFFFFF"/>
        </w:rPr>
        <w:t>Moyer, William &amp; James, 2011)</w:t>
      </w:r>
      <w:r w:rsidRPr="001C4896">
        <w:rPr>
          <w:rFonts w:ascii="Times New Roman" w:eastAsia="Times New Roman" w:hAnsi="Times New Roman" w:cs="Times New Roman"/>
          <w:bCs/>
          <w:color w:val="000000" w:themeColor="text1"/>
          <w:sz w:val="24"/>
          <w:szCs w:val="24"/>
          <w:bdr w:val="none" w:sz="0" w:space="0" w:color="auto" w:frame="1"/>
        </w:rPr>
        <w:t xml:space="preserve">. Consequently, PV of the ordinary annuity comprised compounding that means the interest that is obtained and invested together with the interest collected in the future will be similar as the original or principle amount. </w:t>
      </w:r>
    </w:p>
    <w:p w:rsidR="00D93569" w:rsidRPr="001C4896" w:rsidRDefault="00D93569" w:rsidP="00D93569">
      <w:pPr>
        <w:spacing w:line="480" w:lineRule="auto"/>
        <w:ind w:firstLine="720"/>
        <w:contextualSpacing/>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In short, as consumers, we are required to consider factors such as taxation, interest rates, and the value of annuity payment before we commit ourselves to purchase a property on down payment as the above mentioned factors have a significant effect on our income. Lastly, the amount of taxes depends on the income level of an individual. Progressively, the amount tax and mortgage repayment increases with the increase in the income of a person. </w:t>
      </w:r>
    </w:p>
    <w:p w:rsidR="00D857E9" w:rsidRPr="001C4896" w:rsidRDefault="00D857E9" w:rsidP="00D93569">
      <w:pPr>
        <w:jc w:val="center"/>
        <w:rPr>
          <w:rFonts w:ascii="Times New Roman" w:hAnsi="Times New Roman" w:cs="Times New Roman"/>
          <w:color w:val="000000" w:themeColor="text1"/>
          <w:sz w:val="24"/>
          <w:szCs w:val="24"/>
        </w:rPr>
      </w:pPr>
    </w:p>
    <w:p w:rsidR="00D857E9" w:rsidRPr="001C4896" w:rsidRDefault="00D857E9" w:rsidP="00D93569">
      <w:pPr>
        <w:jc w:val="center"/>
        <w:rPr>
          <w:rFonts w:ascii="Times New Roman" w:hAnsi="Times New Roman" w:cs="Times New Roman"/>
          <w:color w:val="000000" w:themeColor="text1"/>
          <w:sz w:val="24"/>
          <w:szCs w:val="24"/>
        </w:rPr>
      </w:pPr>
    </w:p>
    <w:p w:rsidR="00D857E9" w:rsidRPr="001C4896" w:rsidRDefault="00D857E9" w:rsidP="00D93569">
      <w:pPr>
        <w:jc w:val="center"/>
        <w:rPr>
          <w:rFonts w:ascii="Times New Roman" w:hAnsi="Times New Roman" w:cs="Times New Roman"/>
          <w:color w:val="000000" w:themeColor="text1"/>
          <w:sz w:val="24"/>
          <w:szCs w:val="24"/>
        </w:rPr>
      </w:pPr>
    </w:p>
    <w:p w:rsidR="00D857E9" w:rsidRPr="001C4896" w:rsidRDefault="00D857E9" w:rsidP="00D93569">
      <w:pPr>
        <w:jc w:val="center"/>
        <w:rPr>
          <w:rFonts w:ascii="Times New Roman" w:hAnsi="Times New Roman" w:cs="Times New Roman"/>
          <w:color w:val="000000" w:themeColor="text1"/>
          <w:sz w:val="24"/>
          <w:szCs w:val="24"/>
        </w:rPr>
      </w:pPr>
    </w:p>
    <w:p w:rsidR="00D93569" w:rsidRPr="001C4896" w:rsidRDefault="00D93569" w:rsidP="00D93569">
      <w:pPr>
        <w:jc w:val="center"/>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rPr>
        <w:t xml:space="preserve">Reference </w:t>
      </w:r>
    </w:p>
    <w:p w:rsidR="00D93569" w:rsidRPr="001C4896" w:rsidRDefault="00D93569" w:rsidP="00D93569">
      <w:pPr>
        <w:spacing w:line="480" w:lineRule="auto"/>
        <w:ind w:left="720" w:hanging="720"/>
        <w:contextualSpacing/>
        <w:rPr>
          <w:rFonts w:ascii="Times New Roman" w:hAnsi="Times New Roman" w:cs="Times New Roman"/>
          <w:color w:val="000000" w:themeColor="text1"/>
          <w:sz w:val="24"/>
          <w:szCs w:val="24"/>
        </w:rPr>
      </w:pPr>
      <w:r w:rsidRPr="001C4896">
        <w:rPr>
          <w:rFonts w:ascii="Times New Roman" w:hAnsi="Times New Roman" w:cs="Times New Roman"/>
          <w:color w:val="000000" w:themeColor="text1"/>
          <w:sz w:val="24"/>
          <w:szCs w:val="24"/>
          <w:shd w:val="clear" w:color="auto" w:fill="FFFFFF"/>
        </w:rPr>
        <w:t>Moyer, C, William K &amp; James M. (2011). </w:t>
      </w:r>
      <w:r w:rsidRPr="001C4896">
        <w:rPr>
          <w:rFonts w:ascii="Times New Roman" w:hAnsi="Times New Roman" w:cs="Times New Roman"/>
          <w:i/>
          <w:iCs/>
          <w:color w:val="000000" w:themeColor="text1"/>
          <w:sz w:val="24"/>
          <w:szCs w:val="24"/>
          <w:shd w:val="clear" w:color="auto" w:fill="FFFFFF"/>
        </w:rPr>
        <w:t>Contemporary Financial Management</w:t>
      </w:r>
      <w:r w:rsidRPr="001C4896">
        <w:rPr>
          <w:rFonts w:ascii="Times New Roman" w:hAnsi="Times New Roman" w:cs="Times New Roman"/>
          <w:color w:val="000000" w:themeColor="text1"/>
          <w:sz w:val="24"/>
          <w:szCs w:val="24"/>
          <w:shd w:val="clear" w:color="auto" w:fill="FFFFFF"/>
        </w:rPr>
        <w:t> (12 Ed.). Winsted: South-Western Publishing Co. pp. 147–498</w:t>
      </w:r>
    </w:p>
    <w:p w:rsidR="00B5088D" w:rsidRPr="001C4896" w:rsidRDefault="00B5088D">
      <w:pPr>
        <w:rPr>
          <w:rFonts w:ascii="Times New Roman" w:hAnsi="Times New Roman" w:cs="Times New Roman"/>
          <w:color w:val="000000" w:themeColor="text1"/>
          <w:sz w:val="24"/>
          <w:szCs w:val="24"/>
        </w:rPr>
      </w:pPr>
    </w:p>
    <w:sectPr w:rsidR="00B5088D" w:rsidRPr="001C4896" w:rsidSect="00CD76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862" w:rsidRDefault="00790862">
      <w:pPr>
        <w:spacing w:after="0" w:line="240" w:lineRule="auto"/>
      </w:pPr>
      <w:r>
        <w:separator/>
      </w:r>
    </w:p>
  </w:endnote>
  <w:endnote w:type="continuationSeparator" w:id="0">
    <w:p w:rsidR="00790862" w:rsidRDefault="00790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862" w:rsidRDefault="00790862">
      <w:pPr>
        <w:spacing w:after="0" w:line="240" w:lineRule="auto"/>
      </w:pPr>
      <w:r>
        <w:separator/>
      </w:r>
    </w:p>
  </w:footnote>
  <w:footnote w:type="continuationSeparator" w:id="0">
    <w:p w:rsidR="00790862" w:rsidRDefault="007908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583" w:rsidRPr="00F26583" w:rsidRDefault="00066EBD">
    <w:pPr>
      <w:pStyle w:val="Header"/>
      <w:jc w:val="right"/>
      <w:rPr>
        <w:rFonts w:ascii="Times New Roman" w:hAnsi="Times New Roman" w:cs="Times New Roman"/>
        <w:sz w:val="24"/>
        <w:szCs w:val="24"/>
      </w:rPr>
    </w:pPr>
    <w:r w:rsidRPr="00F26583">
      <w:rPr>
        <w:rFonts w:ascii="Times New Roman" w:hAnsi="Times New Roman" w:cs="Times New Roman"/>
        <w:sz w:val="24"/>
        <w:szCs w:val="24"/>
      </w:rPr>
      <w:t xml:space="preserve">CONSUMER MATHEMATICS PAPER </w:t>
    </w:r>
    <w:sdt>
      <w:sdtPr>
        <w:rPr>
          <w:rFonts w:ascii="Times New Roman" w:hAnsi="Times New Roman" w:cs="Times New Roman"/>
          <w:sz w:val="24"/>
          <w:szCs w:val="24"/>
        </w:rPr>
        <w:id w:val="-157257557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26583">
          <w:rPr>
            <w:rFonts w:ascii="Times New Roman" w:hAnsi="Times New Roman" w:cs="Times New Roman"/>
            <w:sz w:val="24"/>
            <w:szCs w:val="24"/>
          </w:rPr>
          <w:fldChar w:fldCharType="begin"/>
        </w:r>
        <w:r w:rsidRPr="00F26583">
          <w:rPr>
            <w:rFonts w:ascii="Times New Roman" w:hAnsi="Times New Roman" w:cs="Times New Roman"/>
            <w:sz w:val="24"/>
            <w:szCs w:val="24"/>
          </w:rPr>
          <w:instrText xml:space="preserve"> PAGE   \* MERGEFORMAT </w:instrText>
        </w:r>
        <w:r w:rsidRPr="00F26583">
          <w:rPr>
            <w:rFonts w:ascii="Times New Roman" w:hAnsi="Times New Roman" w:cs="Times New Roman"/>
            <w:sz w:val="24"/>
            <w:szCs w:val="24"/>
          </w:rPr>
          <w:fldChar w:fldCharType="separate"/>
        </w:r>
        <w:r w:rsidR="002C208F">
          <w:rPr>
            <w:rFonts w:ascii="Times New Roman" w:hAnsi="Times New Roman" w:cs="Times New Roman"/>
            <w:noProof/>
            <w:sz w:val="24"/>
            <w:szCs w:val="24"/>
          </w:rPr>
          <w:t>2</w:t>
        </w:r>
        <w:r w:rsidRPr="00F26583">
          <w:rPr>
            <w:rFonts w:ascii="Times New Roman" w:hAnsi="Times New Roman" w:cs="Times New Roman"/>
            <w:noProof/>
            <w:sz w:val="24"/>
            <w:szCs w:val="24"/>
          </w:rPr>
          <w:fldChar w:fldCharType="end"/>
        </w:r>
      </w:sdtContent>
    </w:sdt>
  </w:p>
  <w:p w:rsidR="00CD7697" w:rsidRPr="00F26583" w:rsidRDefault="00790862">
    <w:pPr>
      <w:pStyle w:val="Header"/>
      <w:rPr>
        <w:rFonts w:ascii="Times New Roman" w:hAnsi="Times New Roman" w:cs="Times New Roman"/>
        <w:sz w:val="24"/>
        <w:szCs w:val="24"/>
      </w:rPr>
    </w:pPr>
  </w:p>
  <w:p w:rsidR="00F26583" w:rsidRDefault="0079086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697" w:rsidRPr="00CD7697" w:rsidRDefault="00066EBD">
    <w:pPr>
      <w:pStyle w:val="Header"/>
      <w:jc w:val="right"/>
      <w:rPr>
        <w:rFonts w:ascii="Times New Roman" w:hAnsi="Times New Roman" w:cs="Times New Roman"/>
        <w:sz w:val="24"/>
        <w:szCs w:val="24"/>
      </w:rPr>
    </w:pPr>
    <w:r w:rsidRPr="00CD7697">
      <w:rPr>
        <w:rFonts w:ascii="Times New Roman" w:hAnsi="Times New Roman" w:cs="Times New Roman"/>
        <w:sz w:val="24"/>
        <w:szCs w:val="24"/>
      </w:rPr>
      <w:t>Running head: CONSUMER MATHEMATICS PAPER</w:t>
    </w:r>
    <w:sdt>
      <w:sdtPr>
        <w:rPr>
          <w:rFonts w:ascii="Times New Roman" w:hAnsi="Times New Roman" w:cs="Times New Roman"/>
          <w:sz w:val="24"/>
          <w:szCs w:val="24"/>
        </w:rPr>
        <w:id w:val="106970133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D7697">
          <w:rPr>
            <w:rFonts w:ascii="Times New Roman" w:hAnsi="Times New Roman" w:cs="Times New Roman"/>
            <w:sz w:val="24"/>
            <w:szCs w:val="24"/>
          </w:rPr>
          <w:fldChar w:fldCharType="begin"/>
        </w:r>
        <w:r w:rsidRPr="00CD7697">
          <w:rPr>
            <w:rFonts w:ascii="Times New Roman" w:hAnsi="Times New Roman" w:cs="Times New Roman"/>
            <w:sz w:val="24"/>
            <w:szCs w:val="24"/>
          </w:rPr>
          <w:instrText xml:space="preserve"> PAGE   \* MERGEFORMAT </w:instrText>
        </w:r>
        <w:r w:rsidRPr="00CD7697">
          <w:rPr>
            <w:rFonts w:ascii="Times New Roman" w:hAnsi="Times New Roman" w:cs="Times New Roman"/>
            <w:sz w:val="24"/>
            <w:szCs w:val="24"/>
          </w:rPr>
          <w:fldChar w:fldCharType="separate"/>
        </w:r>
        <w:r w:rsidR="00790862">
          <w:rPr>
            <w:rFonts w:ascii="Times New Roman" w:hAnsi="Times New Roman" w:cs="Times New Roman"/>
            <w:noProof/>
            <w:sz w:val="24"/>
            <w:szCs w:val="24"/>
          </w:rPr>
          <w:t>1</w:t>
        </w:r>
        <w:r w:rsidRPr="00CD7697">
          <w:rPr>
            <w:rFonts w:ascii="Times New Roman" w:hAnsi="Times New Roman" w:cs="Times New Roman"/>
            <w:noProof/>
            <w:sz w:val="24"/>
            <w:szCs w:val="24"/>
          </w:rPr>
          <w:fldChar w:fldCharType="end"/>
        </w:r>
      </w:sdtContent>
    </w:sdt>
  </w:p>
  <w:p w:rsidR="00CD7697" w:rsidRPr="00CD7697" w:rsidRDefault="0079086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CEC"/>
    <w:rsid w:val="00066EBD"/>
    <w:rsid w:val="000748B7"/>
    <w:rsid w:val="000F12EF"/>
    <w:rsid w:val="001C4896"/>
    <w:rsid w:val="001E65A5"/>
    <w:rsid w:val="00220D47"/>
    <w:rsid w:val="00245373"/>
    <w:rsid w:val="002C208F"/>
    <w:rsid w:val="00313414"/>
    <w:rsid w:val="00340C6F"/>
    <w:rsid w:val="00347F29"/>
    <w:rsid w:val="004D3078"/>
    <w:rsid w:val="00644A21"/>
    <w:rsid w:val="00790862"/>
    <w:rsid w:val="00B5088D"/>
    <w:rsid w:val="00CA6CEC"/>
    <w:rsid w:val="00D857E9"/>
    <w:rsid w:val="00D93569"/>
    <w:rsid w:val="00E83EFB"/>
    <w:rsid w:val="00ED53D4"/>
    <w:rsid w:val="00F0484E"/>
    <w:rsid w:val="00F41839"/>
    <w:rsid w:val="00FF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92E3A9-82EE-45A1-B927-65106515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5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35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93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569"/>
  </w:style>
  <w:style w:type="table" w:styleId="TableGrid">
    <w:name w:val="Table Grid"/>
    <w:basedOn w:val="TableNormal"/>
    <w:uiPriority w:val="59"/>
    <w:rsid w:val="00347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 1</dc:creator>
  <cp:keywords/>
  <dc:description/>
  <cp:lastModifiedBy>hp15</cp:lastModifiedBy>
  <cp:revision>2</cp:revision>
  <dcterms:created xsi:type="dcterms:W3CDTF">2019-02-03T18:57:00Z</dcterms:created>
  <dcterms:modified xsi:type="dcterms:W3CDTF">2019-02-03T18:57:00Z</dcterms:modified>
</cp:coreProperties>
</file>